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6A95A">
      <w:pPr>
        <w:pStyle w:val="6"/>
        <w:jc w:val="center"/>
        <w:outlineLvl w:val="1"/>
        <w:rPr>
          <w:rFonts w:hint="default"/>
        </w:rPr>
      </w:pPr>
      <w:r>
        <w:rPr>
          <w:b/>
          <w:sz w:val="36"/>
        </w:rPr>
        <w:t>第</w:t>
      </w:r>
      <w:r>
        <w:rPr>
          <w:b/>
          <w:sz w:val="36"/>
          <w:lang w:eastAsia="zh-CN"/>
        </w:rPr>
        <w:t>八</w:t>
      </w:r>
      <w:r>
        <w:rPr>
          <w:b/>
          <w:sz w:val="36"/>
        </w:rPr>
        <w:t>章 拟签订合同文本</w:t>
      </w:r>
    </w:p>
    <w:p w14:paraId="7FEBA38E">
      <w:pPr>
        <w:jc w:val="center"/>
        <w:rPr>
          <w:rFonts w:ascii="宋体" w:hAnsi="宋体" w:cs="宋体"/>
          <w:b/>
          <w:sz w:val="36"/>
          <w:szCs w:val="36"/>
          <w:lang w:eastAsia="zh-CN"/>
        </w:rPr>
      </w:pPr>
    </w:p>
    <w:p w14:paraId="0DEE71D4">
      <w:pPr>
        <w:pStyle w:val="2"/>
        <w:widowControl w:val="0"/>
        <w:spacing w:before="0" w:beforeAutospacing="0" w:after="0" w:afterAutospacing="0" w:line="360" w:lineRule="auto"/>
        <w:jc w:val="center"/>
        <w:outlineLvl w:val="1"/>
        <w:rPr>
          <w:rFonts w:ascii="黑体" w:hAnsi="宋体" w:eastAsia="宋体"/>
          <w:b/>
          <w:bCs/>
          <w:kern w:val="2"/>
          <w:szCs w:val="24"/>
        </w:rPr>
      </w:pPr>
      <w:r>
        <w:rPr>
          <w:rFonts w:hint="eastAsia" w:ascii="宋体" w:hAnsi="宋体" w:eastAsia="宋体" w:cs="宋体"/>
          <w:b/>
          <w:bCs/>
          <w:kern w:val="2"/>
          <w:szCs w:val="24"/>
          <w:lang w:bidi="ar"/>
        </w:rPr>
        <w:t>（本合同为中小企业预留份额合同）</w:t>
      </w:r>
    </w:p>
    <w:p w14:paraId="0F91936E">
      <w:pPr>
        <w:spacing w:line="360" w:lineRule="auto"/>
        <w:jc w:val="center"/>
        <w:rPr>
          <w:rFonts w:ascii="宋体" w:hAnsi="宋体" w:eastAsia="宋体" w:cs="Times New Roman"/>
          <w:b/>
          <w:sz w:val="24"/>
          <w:szCs w:val="24"/>
          <w:lang w:eastAsia="zh-CN"/>
        </w:rPr>
      </w:pPr>
      <w:r>
        <w:rPr>
          <w:rFonts w:hint="eastAsia" w:ascii="宋体" w:hAnsi="宋体" w:eastAsia="宋体" w:cs="Times New Roman"/>
          <w:sz w:val="24"/>
          <w:szCs w:val="24"/>
          <w:lang w:eastAsia="zh-CN"/>
        </w:rPr>
        <w:t>服务合同</w:t>
      </w:r>
    </w:p>
    <w:p w14:paraId="5ED1AC64">
      <w:pPr>
        <w:spacing w:line="360" w:lineRule="auto"/>
        <w:jc w:val="center"/>
        <w:rPr>
          <w:rFonts w:ascii="宋体" w:hAnsi="宋体" w:eastAsia="宋体" w:cs="Times New Roman"/>
          <w:sz w:val="24"/>
          <w:szCs w:val="24"/>
          <w:lang w:eastAsia="zh-CN"/>
        </w:rPr>
      </w:pPr>
      <w:r>
        <w:rPr>
          <w:rFonts w:hint="eastAsia" w:ascii="宋体" w:hAnsi="宋体" w:eastAsia="宋体" w:cs="Times New Roman"/>
          <w:sz w:val="24"/>
          <w:szCs w:val="24"/>
          <w:lang w:eastAsia="zh-CN"/>
        </w:rPr>
        <w:tab/>
      </w:r>
      <w:r>
        <w:rPr>
          <w:rFonts w:hint="eastAsia" w:ascii="宋体" w:hAnsi="宋体" w:eastAsia="宋体" w:cs="Times New Roman"/>
          <w:sz w:val="24"/>
          <w:szCs w:val="24"/>
          <w:lang w:eastAsia="zh-CN"/>
        </w:rPr>
        <w:tab/>
      </w:r>
      <w:r>
        <w:rPr>
          <w:rFonts w:hint="eastAsia" w:ascii="宋体" w:hAnsi="宋体" w:eastAsia="宋体" w:cs="Times New Roman"/>
          <w:sz w:val="24"/>
          <w:szCs w:val="24"/>
          <w:lang w:eastAsia="zh-CN"/>
        </w:rPr>
        <w:tab/>
      </w:r>
      <w:r>
        <w:rPr>
          <w:rFonts w:hint="eastAsia" w:ascii="宋体" w:hAnsi="宋体" w:eastAsia="宋体" w:cs="Times New Roman"/>
          <w:sz w:val="24"/>
          <w:szCs w:val="24"/>
          <w:lang w:eastAsia="zh-CN"/>
        </w:rPr>
        <w:tab/>
      </w:r>
      <w:r>
        <w:rPr>
          <w:rFonts w:hint="eastAsia" w:ascii="宋体" w:hAnsi="宋体" w:eastAsia="宋体" w:cs="Times New Roman"/>
          <w:sz w:val="24"/>
          <w:szCs w:val="24"/>
          <w:lang w:eastAsia="zh-CN"/>
        </w:rPr>
        <w:tab/>
      </w:r>
      <w:r>
        <w:rPr>
          <w:rFonts w:ascii="宋体" w:hAnsi="宋体" w:eastAsia="宋体" w:cs="Times New Roman"/>
          <w:sz w:val="24"/>
          <w:szCs w:val="24"/>
          <w:lang w:eastAsia="zh-CN"/>
        </w:rPr>
        <w:t xml:space="preserve">    </w:t>
      </w:r>
      <w:r>
        <w:rPr>
          <w:rFonts w:hint="eastAsia" w:ascii="宋体" w:hAnsi="宋体" w:eastAsia="宋体" w:cs="Times New Roman"/>
          <w:sz w:val="24"/>
          <w:szCs w:val="24"/>
          <w:lang w:eastAsia="zh-CN"/>
        </w:rPr>
        <w:t>合同编号:</w:t>
      </w:r>
    </w:p>
    <w:p w14:paraId="2CCF5278">
      <w:pPr>
        <w:spacing w:line="276" w:lineRule="auto"/>
        <w:rPr>
          <w:rFonts w:ascii="宋体" w:hAnsi="宋体" w:eastAsia="宋体" w:cs="宋体"/>
          <w:b/>
          <w:sz w:val="24"/>
          <w:szCs w:val="24"/>
          <w:lang w:eastAsia="zh-CN"/>
        </w:rPr>
      </w:pPr>
      <w:r>
        <w:rPr>
          <w:rFonts w:hint="eastAsia" w:ascii="宋体" w:hAnsi="宋体" w:eastAsia="宋体" w:cs="Times New Roman"/>
          <w:b/>
          <w:sz w:val="24"/>
          <w:szCs w:val="24"/>
          <w:lang w:eastAsia="zh-CN"/>
        </w:rPr>
        <w:t xml:space="preserve">甲  方： </w:t>
      </w:r>
      <w:r>
        <w:rPr>
          <w:rFonts w:hint="eastAsia" w:ascii="宋体" w:hAnsi="宋体" w:eastAsia="宋体" w:cs="宋体"/>
          <w:b/>
          <w:sz w:val="24"/>
          <w:szCs w:val="24"/>
          <w:lang w:eastAsia="zh-CN"/>
        </w:rPr>
        <w:t>西安市精神卫生中心</w:t>
      </w:r>
    </w:p>
    <w:p w14:paraId="289B8CC7">
      <w:pPr>
        <w:spacing w:before="100" w:beforeAutospacing="1" w:after="100" w:afterAutospacing="1" w:line="276" w:lineRule="auto"/>
        <w:rPr>
          <w:rFonts w:ascii="宋体" w:hAnsi="宋体" w:eastAsia="宋体" w:cs="宋体"/>
          <w:sz w:val="24"/>
          <w:szCs w:val="24"/>
        </w:rPr>
      </w:pPr>
      <w:r>
        <w:rPr>
          <w:rFonts w:hint="eastAsia" w:ascii="宋体" w:hAnsi="宋体" w:eastAsia="宋体" w:cs="Times New Roman"/>
          <w:b/>
          <w:sz w:val="24"/>
          <w:szCs w:val="24"/>
        </w:rPr>
        <w:t xml:space="preserve">乙  方： </w:t>
      </w:r>
      <w:r>
        <w:rPr>
          <w:rFonts w:ascii="宋体" w:hAnsi="宋体" w:eastAsia="宋体" w:cs="Times New Roman"/>
          <w:b/>
          <w:sz w:val="24"/>
          <w:szCs w:val="24"/>
        </w:rPr>
        <w:t>xxxxxxxxxx</w:t>
      </w:r>
    </w:p>
    <w:p w14:paraId="72747732">
      <w:pPr>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依据《中华人民共和国</w:t>
      </w:r>
      <w:r>
        <w:rPr>
          <w:rFonts w:hint="eastAsia"/>
        </w:rPr>
        <w:fldChar w:fldCharType="begin"/>
      </w:r>
      <w:r>
        <w:rPr>
          <w:lang w:eastAsia="zh-CN"/>
        </w:rPr>
        <w:instrText xml:space="preserve"> HYPERLINK "https://www.66law.cn/tiaoli/4.aspx" \t "_blank" \o "合同法" </w:instrText>
      </w:r>
      <w:r>
        <w:rPr>
          <w:rFonts w:hint="eastAsia"/>
        </w:rPr>
        <w:fldChar w:fldCharType="separate"/>
      </w:r>
      <w:r>
        <w:rPr>
          <w:rFonts w:hint="eastAsia" w:ascii="宋体" w:hAnsi="宋体" w:eastAsia="宋体" w:cs="Times New Roman"/>
          <w:sz w:val="24"/>
          <w:szCs w:val="24"/>
          <w:lang w:eastAsia="zh-CN"/>
        </w:rPr>
        <w:t>民法典</w:t>
      </w:r>
      <w:r>
        <w:rPr>
          <w:rFonts w:hint="eastAsia" w:ascii="宋体" w:hAnsi="宋体" w:eastAsia="宋体" w:cs="Times New Roman"/>
          <w:sz w:val="24"/>
          <w:szCs w:val="24"/>
        </w:rPr>
        <w:fldChar w:fldCharType="end"/>
      </w:r>
      <w:r>
        <w:rPr>
          <w:rFonts w:hint="eastAsia" w:ascii="宋体" w:hAnsi="宋体" w:eastAsia="宋体" w:cs="Times New Roman"/>
          <w:sz w:val="24"/>
          <w:szCs w:val="24"/>
          <w:lang w:eastAsia="zh-CN"/>
        </w:rPr>
        <w:t>》及相关</w:t>
      </w:r>
      <w:r>
        <w:rPr>
          <w:rFonts w:hint="eastAsia"/>
        </w:rPr>
        <w:fldChar w:fldCharType="begin"/>
      </w:r>
      <w:r>
        <w:rPr>
          <w:lang w:eastAsia="zh-CN"/>
        </w:rPr>
        <w:instrText xml:space="preserve"> HYPERLINK "https://www.66law.cn/tiaoli/" \t "_blank" \o "法律法规" </w:instrText>
      </w:r>
      <w:r>
        <w:rPr>
          <w:rFonts w:hint="eastAsia"/>
        </w:rPr>
        <w:fldChar w:fldCharType="separate"/>
      </w:r>
      <w:r>
        <w:rPr>
          <w:rFonts w:hint="eastAsia" w:ascii="宋体" w:hAnsi="宋体" w:eastAsia="宋体" w:cs="Times New Roman"/>
          <w:sz w:val="24"/>
          <w:szCs w:val="24"/>
          <w:lang w:eastAsia="zh-CN"/>
        </w:rPr>
        <w:t>法律法规</w:t>
      </w:r>
      <w:r>
        <w:rPr>
          <w:rFonts w:hint="eastAsia" w:ascii="宋体" w:hAnsi="宋体" w:eastAsia="宋体" w:cs="Times New Roman"/>
          <w:sz w:val="24"/>
          <w:szCs w:val="24"/>
        </w:rPr>
        <w:fldChar w:fldCharType="end"/>
      </w:r>
      <w:r>
        <w:rPr>
          <w:rFonts w:hint="eastAsia" w:ascii="宋体" w:hAnsi="宋体" w:eastAsia="宋体" w:cs="Times New Roman"/>
          <w:sz w:val="24"/>
          <w:szCs w:val="24"/>
          <w:lang w:eastAsia="zh-CN"/>
        </w:rPr>
        <w:t>之规定，甲乙双方在平等、自愿的基础上，经双方协商一致，达成如下协议，以资共同遵照执行,具体条款如下：</w:t>
      </w:r>
    </w:p>
    <w:p w14:paraId="790DAF3F">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一、招标项目及招投标结果描述：</w:t>
      </w:r>
    </w:p>
    <w:p w14:paraId="1D090E48">
      <w:pPr>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本合同招投标项目：西安市精神卫生中心2026年度水暖电料配送项目。招标采购编号为XAJG（ZFCG）-20260603。依法进行招投标程序后，中标供应商为本合同乙方。依据招投标结果，双方签订本合同。</w:t>
      </w:r>
    </w:p>
    <w:p w14:paraId="7F75A683">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二、合同服务范围</w:t>
      </w:r>
    </w:p>
    <w:p w14:paraId="5F81DEEF">
      <w:pPr>
        <w:spacing w:line="36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乙方为甲方按招标文件要求以及乙方投标文件提供的全部内容进行服务。</w:t>
      </w:r>
    </w:p>
    <w:tbl>
      <w:tblPr>
        <w:tblStyle w:val="4"/>
        <w:tblpPr w:leftFromText="180" w:rightFromText="180" w:vertAnchor="text" w:horzAnchor="page" w:tblpX="1845" w:tblpY="271"/>
        <w:tblOverlap w:val="never"/>
        <w:tblW w:w="8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854"/>
        <w:gridCol w:w="1200"/>
        <w:gridCol w:w="1188"/>
        <w:gridCol w:w="1432"/>
        <w:gridCol w:w="1448"/>
        <w:gridCol w:w="1411"/>
      </w:tblGrid>
      <w:tr w14:paraId="3A49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39" w:type="dxa"/>
            <w:tcBorders>
              <w:top w:val="single" w:color="auto" w:sz="4" w:space="0"/>
              <w:left w:val="single" w:color="auto" w:sz="4" w:space="0"/>
              <w:bottom w:val="single" w:color="auto" w:sz="4" w:space="0"/>
              <w:right w:val="single" w:color="auto" w:sz="4" w:space="0"/>
            </w:tcBorders>
            <w:noWrap w:val="0"/>
            <w:vAlign w:val="center"/>
          </w:tcPr>
          <w:p w14:paraId="19216257">
            <w:pPr>
              <w:widowControl w:val="0"/>
              <w:spacing w:line="360" w:lineRule="auto"/>
              <w:jc w:val="center"/>
              <w:rPr>
                <w:rFonts w:ascii="宋体" w:hAnsi="宋体" w:cs="宋体"/>
                <w:sz w:val="24"/>
                <w:szCs w:val="24"/>
              </w:rPr>
            </w:pPr>
            <w:r>
              <w:rPr>
                <w:rFonts w:hint="eastAsia" w:ascii="宋体" w:hAnsi="宋体" w:cs="宋体"/>
                <w:sz w:val="24"/>
                <w:szCs w:val="24"/>
                <w:lang w:bidi="ar"/>
              </w:rPr>
              <w:t>序号</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4B44AB5">
            <w:pPr>
              <w:widowControl w:val="0"/>
              <w:spacing w:line="360" w:lineRule="auto"/>
              <w:jc w:val="center"/>
              <w:rPr>
                <w:rFonts w:ascii="宋体" w:hAnsi="宋体" w:cs="宋体"/>
                <w:sz w:val="24"/>
                <w:szCs w:val="24"/>
              </w:rPr>
            </w:pPr>
            <w:r>
              <w:rPr>
                <w:rFonts w:hint="eastAsia" w:ascii="宋体" w:hAnsi="宋体" w:cs="宋体"/>
                <w:sz w:val="24"/>
                <w:szCs w:val="24"/>
                <w:lang w:bidi="ar"/>
              </w:rPr>
              <w:t>品 名</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A3E52D">
            <w:pPr>
              <w:widowControl w:val="0"/>
              <w:spacing w:line="360" w:lineRule="auto"/>
              <w:jc w:val="center"/>
              <w:rPr>
                <w:rFonts w:ascii="宋体" w:hAnsi="宋体" w:cs="宋体"/>
                <w:sz w:val="24"/>
                <w:szCs w:val="24"/>
              </w:rPr>
            </w:pPr>
            <w:r>
              <w:rPr>
                <w:rFonts w:hint="eastAsia" w:ascii="宋体" w:hAnsi="宋体" w:cs="宋体"/>
                <w:sz w:val="24"/>
                <w:szCs w:val="24"/>
                <w:lang w:eastAsia="zh-CN" w:bidi="ar"/>
              </w:rPr>
              <w:t>计价</w:t>
            </w:r>
            <w:r>
              <w:rPr>
                <w:rFonts w:hint="eastAsia" w:ascii="宋体" w:hAnsi="宋体" w:cs="宋体"/>
                <w:sz w:val="24"/>
                <w:szCs w:val="24"/>
                <w:lang w:bidi="ar"/>
              </w:rPr>
              <w:t>单位</w:t>
            </w:r>
          </w:p>
        </w:tc>
        <w:tc>
          <w:tcPr>
            <w:tcW w:w="1188" w:type="dxa"/>
            <w:tcBorders>
              <w:top w:val="single" w:color="auto" w:sz="4" w:space="0"/>
              <w:left w:val="single" w:color="auto" w:sz="4" w:space="0"/>
              <w:bottom w:val="single" w:color="auto" w:sz="4" w:space="0"/>
              <w:right w:val="single" w:color="auto" w:sz="4" w:space="0"/>
            </w:tcBorders>
            <w:noWrap w:val="0"/>
            <w:vAlign w:val="center"/>
          </w:tcPr>
          <w:p w14:paraId="674809FB">
            <w:pPr>
              <w:widowControl w:val="0"/>
              <w:spacing w:line="360" w:lineRule="auto"/>
              <w:jc w:val="center"/>
              <w:rPr>
                <w:rFonts w:ascii="宋体" w:hAnsi="宋体" w:cs="宋体"/>
                <w:sz w:val="24"/>
                <w:szCs w:val="24"/>
              </w:rPr>
            </w:pPr>
            <w:r>
              <w:rPr>
                <w:rFonts w:hint="eastAsia" w:ascii="宋体" w:hAnsi="宋体" w:cs="宋体"/>
                <w:sz w:val="24"/>
                <w:szCs w:val="24"/>
                <w:lang w:bidi="ar"/>
              </w:rPr>
              <w:t>规格</w:t>
            </w:r>
          </w:p>
        </w:tc>
        <w:tc>
          <w:tcPr>
            <w:tcW w:w="1432" w:type="dxa"/>
            <w:tcBorders>
              <w:top w:val="single" w:color="auto" w:sz="4" w:space="0"/>
              <w:left w:val="single" w:color="auto" w:sz="4" w:space="0"/>
              <w:bottom w:val="single" w:color="auto" w:sz="4" w:space="0"/>
              <w:right w:val="single" w:color="auto" w:sz="4" w:space="0"/>
            </w:tcBorders>
            <w:noWrap w:val="0"/>
            <w:vAlign w:val="center"/>
          </w:tcPr>
          <w:p w14:paraId="6C542B8F">
            <w:pPr>
              <w:widowControl w:val="0"/>
              <w:spacing w:line="360" w:lineRule="auto"/>
              <w:jc w:val="center"/>
              <w:rPr>
                <w:rFonts w:ascii="宋体" w:hAnsi="宋体" w:cs="宋体"/>
                <w:sz w:val="24"/>
                <w:szCs w:val="24"/>
                <w:highlight w:val="none"/>
                <w:lang w:bidi="ar"/>
              </w:rPr>
            </w:pPr>
            <w:r>
              <w:rPr>
                <w:rFonts w:hint="eastAsia" w:ascii="宋体" w:hAnsi="宋体" w:cs="宋体"/>
                <w:sz w:val="24"/>
                <w:szCs w:val="24"/>
                <w:highlight w:val="none"/>
                <w:lang w:eastAsia="zh-CN" w:bidi="ar"/>
              </w:rPr>
              <w:t>单</w:t>
            </w:r>
            <w:r>
              <w:rPr>
                <w:rFonts w:hint="eastAsia" w:ascii="宋体" w:hAnsi="宋体" w:cs="宋体"/>
                <w:sz w:val="24"/>
                <w:szCs w:val="24"/>
                <w:highlight w:val="none"/>
                <w:lang w:bidi="ar"/>
              </w:rPr>
              <w:t>价（元）</w:t>
            </w:r>
          </w:p>
        </w:tc>
        <w:tc>
          <w:tcPr>
            <w:tcW w:w="1448" w:type="dxa"/>
            <w:tcBorders>
              <w:top w:val="single" w:color="auto" w:sz="4" w:space="0"/>
              <w:left w:val="single" w:color="auto" w:sz="4" w:space="0"/>
              <w:bottom w:val="single" w:color="auto" w:sz="4" w:space="0"/>
              <w:right w:val="single" w:color="auto" w:sz="4" w:space="0"/>
            </w:tcBorders>
            <w:noWrap w:val="0"/>
            <w:vAlign w:val="center"/>
          </w:tcPr>
          <w:p w14:paraId="22E6FC72">
            <w:pPr>
              <w:widowControl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bidi="ar"/>
              </w:rPr>
              <w:t>品牌</w:t>
            </w:r>
          </w:p>
        </w:tc>
        <w:tc>
          <w:tcPr>
            <w:tcW w:w="1411" w:type="dxa"/>
            <w:tcBorders>
              <w:top w:val="single" w:color="auto" w:sz="4" w:space="0"/>
              <w:left w:val="single" w:color="auto" w:sz="4" w:space="0"/>
              <w:bottom w:val="single" w:color="auto" w:sz="4" w:space="0"/>
              <w:right w:val="single" w:color="auto" w:sz="4" w:space="0"/>
            </w:tcBorders>
            <w:noWrap w:val="0"/>
            <w:vAlign w:val="center"/>
          </w:tcPr>
          <w:p w14:paraId="242355B6">
            <w:pPr>
              <w:widowControl w:val="0"/>
              <w:spacing w:line="360" w:lineRule="auto"/>
              <w:jc w:val="center"/>
              <w:rPr>
                <w:rFonts w:ascii="宋体" w:hAnsi="宋体" w:cs="宋体"/>
                <w:sz w:val="24"/>
                <w:szCs w:val="24"/>
              </w:rPr>
            </w:pPr>
            <w:r>
              <w:rPr>
                <w:rFonts w:hint="eastAsia" w:ascii="宋体" w:hAnsi="宋体" w:cs="宋体"/>
                <w:sz w:val="24"/>
                <w:szCs w:val="24"/>
                <w:lang w:bidi="ar"/>
              </w:rPr>
              <w:t>质保期</w:t>
            </w:r>
          </w:p>
        </w:tc>
      </w:tr>
      <w:tr w14:paraId="0170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739" w:type="dxa"/>
            <w:tcBorders>
              <w:top w:val="single" w:color="auto" w:sz="4" w:space="0"/>
              <w:left w:val="single" w:color="auto" w:sz="4" w:space="0"/>
              <w:bottom w:val="single" w:color="auto" w:sz="4" w:space="0"/>
              <w:right w:val="single" w:color="auto" w:sz="4" w:space="0"/>
            </w:tcBorders>
            <w:noWrap w:val="0"/>
            <w:vAlign w:val="top"/>
          </w:tcPr>
          <w:p w14:paraId="31FAE65C">
            <w:pPr>
              <w:widowControl w:val="0"/>
              <w:spacing w:line="360" w:lineRule="auto"/>
              <w:jc w:val="both"/>
              <w:rPr>
                <w:rFonts w:ascii="宋体" w:hAnsi="宋体" w:cs="宋体"/>
                <w:sz w:val="24"/>
                <w:szCs w:val="24"/>
              </w:rPr>
            </w:pPr>
            <w:r>
              <w:rPr>
                <w:rFonts w:hint="eastAsia" w:ascii="宋体" w:hAnsi="宋体" w:cs="宋体"/>
                <w:sz w:val="24"/>
                <w:szCs w:val="24"/>
                <w:lang w:bidi="ar"/>
              </w:rPr>
              <w:t>1</w:t>
            </w:r>
          </w:p>
        </w:tc>
        <w:tc>
          <w:tcPr>
            <w:tcW w:w="854" w:type="dxa"/>
            <w:tcBorders>
              <w:top w:val="single" w:color="auto" w:sz="4" w:space="0"/>
              <w:left w:val="single" w:color="auto" w:sz="4" w:space="0"/>
              <w:bottom w:val="single" w:color="auto" w:sz="4" w:space="0"/>
              <w:right w:val="single" w:color="auto" w:sz="4" w:space="0"/>
            </w:tcBorders>
            <w:noWrap w:val="0"/>
            <w:vAlign w:val="top"/>
          </w:tcPr>
          <w:p w14:paraId="1108E20D">
            <w:pPr>
              <w:widowControl w:val="0"/>
              <w:spacing w:line="360" w:lineRule="auto"/>
              <w:jc w:val="both"/>
              <w:rPr>
                <w:rFonts w:ascii="宋体" w:hAnsi="宋体" w:cs="宋体"/>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3BACB3BE">
            <w:pPr>
              <w:widowControl w:val="0"/>
              <w:spacing w:line="360" w:lineRule="auto"/>
              <w:jc w:val="both"/>
              <w:rPr>
                <w:rFonts w:ascii="宋体" w:hAnsi="宋体" w:cs="宋体"/>
                <w:sz w:val="24"/>
                <w:szCs w:val="24"/>
              </w:rPr>
            </w:pPr>
          </w:p>
        </w:tc>
        <w:tc>
          <w:tcPr>
            <w:tcW w:w="1188" w:type="dxa"/>
            <w:tcBorders>
              <w:top w:val="single" w:color="auto" w:sz="4" w:space="0"/>
              <w:left w:val="single" w:color="auto" w:sz="4" w:space="0"/>
              <w:bottom w:val="single" w:color="auto" w:sz="4" w:space="0"/>
              <w:right w:val="single" w:color="auto" w:sz="4" w:space="0"/>
            </w:tcBorders>
            <w:noWrap w:val="0"/>
            <w:vAlign w:val="top"/>
          </w:tcPr>
          <w:p w14:paraId="58226A76">
            <w:pPr>
              <w:widowControl w:val="0"/>
              <w:spacing w:line="360" w:lineRule="auto"/>
              <w:jc w:val="both"/>
              <w:rPr>
                <w:rFonts w:ascii="宋体" w:hAnsi="宋体" w:cs="宋体"/>
                <w:sz w:val="24"/>
                <w:szCs w:val="24"/>
              </w:rPr>
            </w:pPr>
          </w:p>
        </w:tc>
        <w:tc>
          <w:tcPr>
            <w:tcW w:w="1432" w:type="dxa"/>
            <w:tcBorders>
              <w:top w:val="single" w:color="auto" w:sz="4" w:space="0"/>
              <w:left w:val="single" w:color="auto" w:sz="4" w:space="0"/>
              <w:bottom w:val="single" w:color="auto" w:sz="4" w:space="0"/>
              <w:right w:val="single" w:color="auto" w:sz="4" w:space="0"/>
            </w:tcBorders>
            <w:noWrap w:val="0"/>
            <w:vAlign w:val="top"/>
          </w:tcPr>
          <w:p w14:paraId="188CFEF4">
            <w:pPr>
              <w:widowControl w:val="0"/>
              <w:spacing w:line="360" w:lineRule="auto"/>
              <w:jc w:val="both"/>
              <w:rPr>
                <w:rFonts w:hint="eastAsia" w:ascii="宋体" w:hAnsi="宋体" w:cs="宋体"/>
                <w:sz w:val="24"/>
                <w:szCs w:val="24"/>
              </w:rPr>
            </w:pPr>
          </w:p>
        </w:tc>
        <w:tc>
          <w:tcPr>
            <w:tcW w:w="1448" w:type="dxa"/>
            <w:tcBorders>
              <w:top w:val="single" w:color="auto" w:sz="4" w:space="0"/>
              <w:left w:val="single" w:color="auto" w:sz="4" w:space="0"/>
              <w:bottom w:val="single" w:color="auto" w:sz="4" w:space="0"/>
              <w:right w:val="single" w:color="auto" w:sz="4" w:space="0"/>
            </w:tcBorders>
            <w:noWrap w:val="0"/>
            <w:vAlign w:val="top"/>
          </w:tcPr>
          <w:p w14:paraId="40C07C10">
            <w:pPr>
              <w:widowControl w:val="0"/>
              <w:spacing w:line="360" w:lineRule="auto"/>
              <w:jc w:val="both"/>
              <w:rPr>
                <w:rFonts w:hint="eastAsia" w:ascii="宋体" w:hAnsi="宋体" w:cs="宋体"/>
                <w:sz w:val="24"/>
                <w:szCs w:val="24"/>
              </w:rPr>
            </w:pPr>
          </w:p>
        </w:tc>
        <w:tc>
          <w:tcPr>
            <w:tcW w:w="1411" w:type="dxa"/>
            <w:tcBorders>
              <w:top w:val="single" w:color="auto" w:sz="4" w:space="0"/>
              <w:left w:val="single" w:color="auto" w:sz="4" w:space="0"/>
              <w:bottom w:val="single" w:color="auto" w:sz="4" w:space="0"/>
              <w:right w:val="single" w:color="auto" w:sz="4" w:space="0"/>
            </w:tcBorders>
            <w:noWrap w:val="0"/>
            <w:vAlign w:val="top"/>
          </w:tcPr>
          <w:p w14:paraId="2296BDDA">
            <w:pPr>
              <w:widowControl w:val="0"/>
              <w:spacing w:line="360" w:lineRule="auto"/>
              <w:jc w:val="both"/>
              <w:rPr>
                <w:rFonts w:ascii="宋体" w:hAnsi="宋体" w:cs="宋体"/>
                <w:sz w:val="24"/>
                <w:szCs w:val="24"/>
              </w:rPr>
            </w:pPr>
          </w:p>
        </w:tc>
      </w:tr>
      <w:tr w14:paraId="40AE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739" w:type="dxa"/>
            <w:tcBorders>
              <w:top w:val="single" w:color="auto" w:sz="4" w:space="0"/>
              <w:left w:val="single" w:color="auto" w:sz="4" w:space="0"/>
              <w:bottom w:val="single" w:color="auto" w:sz="4" w:space="0"/>
              <w:right w:val="single" w:color="auto" w:sz="4" w:space="0"/>
            </w:tcBorders>
            <w:noWrap w:val="0"/>
            <w:vAlign w:val="top"/>
          </w:tcPr>
          <w:p w14:paraId="2756CE48">
            <w:pPr>
              <w:widowControl w:val="0"/>
              <w:spacing w:line="360" w:lineRule="auto"/>
              <w:jc w:val="both"/>
              <w:rPr>
                <w:rFonts w:ascii="宋体" w:hAnsi="宋体" w:cs="宋体"/>
                <w:sz w:val="24"/>
                <w:szCs w:val="24"/>
              </w:rPr>
            </w:pPr>
            <w:r>
              <w:rPr>
                <w:rFonts w:hint="eastAsia" w:ascii="宋体" w:hAnsi="宋体" w:cs="宋体"/>
                <w:sz w:val="24"/>
                <w:szCs w:val="24"/>
                <w:lang w:bidi="ar"/>
              </w:rPr>
              <w:t>2</w:t>
            </w:r>
          </w:p>
        </w:tc>
        <w:tc>
          <w:tcPr>
            <w:tcW w:w="854" w:type="dxa"/>
            <w:tcBorders>
              <w:top w:val="single" w:color="auto" w:sz="4" w:space="0"/>
              <w:left w:val="single" w:color="auto" w:sz="4" w:space="0"/>
              <w:bottom w:val="single" w:color="auto" w:sz="4" w:space="0"/>
              <w:right w:val="single" w:color="auto" w:sz="4" w:space="0"/>
            </w:tcBorders>
            <w:noWrap w:val="0"/>
            <w:vAlign w:val="top"/>
          </w:tcPr>
          <w:p w14:paraId="37180E24">
            <w:pPr>
              <w:widowControl w:val="0"/>
              <w:spacing w:line="360" w:lineRule="auto"/>
              <w:jc w:val="both"/>
              <w:rPr>
                <w:rFonts w:ascii="宋体" w:hAnsi="宋体" w:cs="宋体"/>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005087B0">
            <w:pPr>
              <w:widowControl w:val="0"/>
              <w:spacing w:line="360" w:lineRule="auto"/>
              <w:jc w:val="both"/>
              <w:rPr>
                <w:rFonts w:ascii="宋体" w:hAnsi="宋体" w:cs="宋体"/>
                <w:sz w:val="24"/>
                <w:szCs w:val="24"/>
              </w:rPr>
            </w:pPr>
          </w:p>
        </w:tc>
        <w:tc>
          <w:tcPr>
            <w:tcW w:w="1188" w:type="dxa"/>
            <w:tcBorders>
              <w:top w:val="single" w:color="auto" w:sz="4" w:space="0"/>
              <w:left w:val="single" w:color="auto" w:sz="4" w:space="0"/>
              <w:bottom w:val="single" w:color="auto" w:sz="4" w:space="0"/>
              <w:right w:val="single" w:color="auto" w:sz="4" w:space="0"/>
            </w:tcBorders>
            <w:noWrap w:val="0"/>
            <w:vAlign w:val="top"/>
          </w:tcPr>
          <w:p w14:paraId="0709DE00">
            <w:pPr>
              <w:widowControl w:val="0"/>
              <w:spacing w:line="360" w:lineRule="auto"/>
              <w:jc w:val="both"/>
              <w:rPr>
                <w:rFonts w:hint="eastAsia" w:ascii="宋体" w:hAnsi="宋体" w:cs="宋体"/>
                <w:sz w:val="24"/>
                <w:szCs w:val="24"/>
              </w:rPr>
            </w:pPr>
          </w:p>
        </w:tc>
        <w:tc>
          <w:tcPr>
            <w:tcW w:w="1432" w:type="dxa"/>
            <w:tcBorders>
              <w:top w:val="single" w:color="auto" w:sz="4" w:space="0"/>
              <w:left w:val="single" w:color="auto" w:sz="4" w:space="0"/>
              <w:bottom w:val="single" w:color="auto" w:sz="4" w:space="0"/>
              <w:right w:val="single" w:color="auto" w:sz="4" w:space="0"/>
            </w:tcBorders>
            <w:noWrap w:val="0"/>
            <w:vAlign w:val="top"/>
          </w:tcPr>
          <w:p w14:paraId="735B5683">
            <w:pPr>
              <w:widowControl w:val="0"/>
              <w:spacing w:line="360" w:lineRule="auto"/>
              <w:jc w:val="both"/>
              <w:rPr>
                <w:rFonts w:hint="eastAsia" w:ascii="宋体" w:hAnsi="宋体" w:cs="宋体"/>
                <w:sz w:val="24"/>
                <w:szCs w:val="24"/>
              </w:rPr>
            </w:pPr>
          </w:p>
        </w:tc>
        <w:tc>
          <w:tcPr>
            <w:tcW w:w="1448" w:type="dxa"/>
            <w:tcBorders>
              <w:top w:val="single" w:color="auto" w:sz="4" w:space="0"/>
              <w:left w:val="single" w:color="auto" w:sz="4" w:space="0"/>
              <w:bottom w:val="single" w:color="auto" w:sz="4" w:space="0"/>
              <w:right w:val="single" w:color="auto" w:sz="4" w:space="0"/>
            </w:tcBorders>
            <w:noWrap w:val="0"/>
            <w:vAlign w:val="top"/>
          </w:tcPr>
          <w:p w14:paraId="57525E9C">
            <w:pPr>
              <w:widowControl w:val="0"/>
              <w:spacing w:line="360" w:lineRule="auto"/>
              <w:jc w:val="both"/>
              <w:rPr>
                <w:rFonts w:hint="eastAsia" w:ascii="宋体" w:hAnsi="宋体" w:cs="宋体"/>
                <w:sz w:val="24"/>
                <w:szCs w:val="24"/>
              </w:rPr>
            </w:pPr>
          </w:p>
        </w:tc>
        <w:tc>
          <w:tcPr>
            <w:tcW w:w="1411" w:type="dxa"/>
            <w:tcBorders>
              <w:top w:val="single" w:color="auto" w:sz="4" w:space="0"/>
              <w:left w:val="single" w:color="auto" w:sz="4" w:space="0"/>
              <w:bottom w:val="single" w:color="auto" w:sz="4" w:space="0"/>
              <w:right w:val="single" w:color="auto" w:sz="4" w:space="0"/>
            </w:tcBorders>
            <w:noWrap w:val="0"/>
            <w:vAlign w:val="top"/>
          </w:tcPr>
          <w:p w14:paraId="2B470FF3">
            <w:pPr>
              <w:widowControl w:val="0"/>
              <w:spacing w:line="360" w:lineRule="auto"/>
              <w:jc w:val="both"/>
              <w:rPr>
                <w:rFonts w:ascii="宋体" w:hAnsi="宋体" w:cs="宋体"/>
                <w:sz w:val="24"/>
                <w:szCs w:val="24"/>
              </w:rPr>
            </w:pPr>
          </w:p>
        </w:tc>
      </w:tr>
      <w:tr w14:paraId="3099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739" w:type="dxa"/>
            <w:tcBorders>
              <w:top w:val="single" w:color="auto" w:sz="4" w:space="0"/>
              <w:left w:val="single" w:color="auto" w:sz="4" w:space="0"/>
              <w:bottom w:val="single" w:color="auto" w:sz="4" w:space="0"/>
              <w:right w:val="single" w:color="auto" w:sz="4" w:space="0"/>
            </w:tcBorders>
            <w:noWrap w:val="0"/>
            <w:vAlign w:val="top"/>
          </w:tcPr>
          <w:p w14:paraId="100449DA">
            <w:pPr>
              <w:widowControl w:val="0"/>
              <w:spacing w:line="360" w:lineRule="auto"/>
              <w:jc w:val="both"/>
              <w:rPr>
                <w:rFonts w:hint="default" w:ascii="宋体" w:hAnsi="宋体" w:eastAsia="宋体" w:cs="宋体"/>
                <w:sz w:val="24"/>
                <w:szCs w:val="24"/>
                <w:lang w:val="en-US" w:eastAsia="zh-CN" w:bidi="ar"/>
              </w:rPr>
            </w:pPr>
            <w:r>
              <w:rPr>
                <w:rFonts w:hint="eastAsia" w:ascii="宋体" w:hAnsi="宋体" w:cs="宋体"/>
                <w:sz w:val="24"/>
                <w:szCs w:val="24"/>
                <w:lang w:val="en-US" w:eastAsia="zh-CN" w:bidi="ar"/>
              </w:rPr>
              <w:t>...</w:t>
            </w:r>
          </w:p>
        </w:tc>
        <w:tc>
          <w:tcPr>
            <w:tcW w:w="854" w:type="dxa"/>
            <w:tcBorders>
              <w:top w:val="single" w:color="auto" w:sz="4" w:space="0"/>
              <w:left w:val="single" w:color="auto" w:sz="4" w:space="0"/>
              <w:bottom w:val="single" w:color="auto" w:sz="4" w:space="0"/>
              <w:right w:val="single" w:color="auto" w:sz="4" w:space="0"/>
            </w:tcBorders>
            <w:noWrap w:val="0"/>
            <w:vAlign w:val="top"/>
          </w:tcPr>
          <w:p w14:paraId="1D31A313">
            <w:pPr>
              <w:widowControl w:val="0"/>
              <w:spacing w:line="360" w:lineRule="auto"/>
              <w:jc w:val="both"/>
              <w:rPr>
                <w:rFonts w:ascii="宋体" w:hAnsi="宋体" w:cs="宋体"/>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8764170">
            <w:pPr>
              <w:widowControl w:val="0"/>
              <w:spacing w:line="360" w:lineRule="auto"/>
              <w:jc w:val="both"/>
              <w:rPr>
                <w:rFonts w:ascii="宋体" w:hAnsi="宋体" w:cs="宋体"/>
                <w:sz w:val="24"/>
                <w:szCs w:val="24"/>
              </w:rPr>
            </w:pPr>
          </w:p>
        </w:tc>
        <w:tc>
          <w:tcPr>
            <w:tcW w:w="1188" w:type="dxa"/>
            <w:tcBorders>
              <w:top w:val="single" w:color="auto" w:sz="4" w:space="0"/>
              <w:left w:val="single" w:color="auto" w:sz="4" w:space="0"/>
              <w:bottom w:val="single" w:color="auto" w:sz="4" w:space="0"/>
              <w:right w:val="single" w:color="auto" w:sz="4" w:space="0"/>
            </w:tcBorders>
            <w:noWrap w:val="0"/>
            <w:vAlign w:val="top"/>
          </w:tcPr>
          <w:p w14:paraId="4BA2E433">
            <w:pPr>
              <w:widowControl w:val="0"/>
              <w:spacing w:line="360" w:lineRule="auto"/>
              <w:jc w:val="both"/>
              <w:rPr>
                <w:rFonts w:hint="eastAsia" w:ascii="宋体" w:hAnsi="宋体" w:cs="宋体"/>
                <w:sz w:val="24"/>
                <w:szCs w:val="24"/>
              </w:rPr>
            </w:pPr>
          </w:p>
        </w:tc>
        <w:tc>
          <w:tcPr>
            <w:tcW w:w="1432" w:type="dxa"/>
            <w:tcBorders>
              <w:top w:val="single" w:color="auto" w:sz="4" w:space="0"/>
              <w:left w:val="single" w:color="auto" w:sz="4" w:space="0"/>
              <w:bottom w:val="single" w:color="auto" w:sz="4" w:space="0"/>
              <w:right w:val="single" w:color="auto" w:sz="4" w:space="0"/>
            </w:tcBorders>
            <w:noWrap w:val="0"/>
            <w:vAlign w:val="top"/>
          </w:tcPr>
          <w:p w14:paraId="57F350BF">
            <w:pPr>
              <w:widowControl w:val="0"/>
              <w:spacing w:line="360" w:lineRule="auto"/>
              <w:jc w:val="both"/>
              <w:rPr>
                <w:rFonts w:hint="eastAsia" w:ascii="宋体" w:hAnsi="宋体" w:cs="宋体"/>
                <w:sz w:val="24"/>
                <w:szCs w:val="24"/>
              </w:rPr>
            </w:pPr>
          </w:p>
        </w:tc>
        <w:tc>
          <w:tcPr>
            <w:tcW w:w="1448" w:type="dxa"/>
            <w:tcBorders>
              <w:top w:val="single" w:color="auto" w:sz="4" w:space="0"/>
              <w:left w:val="single" w:color="auto" w:sz="4" w:space="0"/>
              <w:bottom w:val="single" w:color="auto" w:sz="4" w:space="0"/>
              <w:right w:val="single" w:color="auto" w:sz="4" w:space="0"/>
            </w:tcBorders>
            <w:noWrap w:val="0"/>
            <w:vAlign w:val="top"/>
          </w:tcPr>
          <w:p w14:paraId="57AF82AF">
            <w:pPr>
              <w:widowControl w:val="0"/>
              <w:spacing w:line="360" w:lineRule="auto"/>
              <w:jc w:val="both"/>
              <w:rPr>
                <w:rFonts w:hint="eastAsia" w:ascii="宋体" w:hAnsi="宋体" w:cs="宋体"/>
                <w:sz w:val="24"/>
                <w:szCs w:val="24"/>
              </w:rPr>
            </w:pPr>
          </w:p>
        </w:tc>
        <w:tc>
          <w:tcPr>
            <w:tcW w:w="1411" w:type="dxa"/>
            <w:tcBorders>
              <w:top w:val="single" w:color="auto" w:sz="4" w:space="0"/>
              <w:left w:val="single" w:color="auto" w:sz="4" w:space="0"/>
              <w:bottom w:val="single" w:color="auto" w:sz="4" w:space="0"/>
              <w:right w:val="single" w:color="auto" w:sz="4" w:space="0"/>
            </w:tcBorders>
            <w:noWrap w:val="0"/>
            <w:vAlign w:val="top"/>
          </w:tcPr>
          <w:p w14:paraId="1EF825FE">
            <w:pPr>
              <w:widowControl w:val="0"/>
              <w:spacing w:line="360" w:lineRule="auto"/>
              <w:jc w:val="both"/>
              <w:rPr>
                <w:rFonts w:ascii="宋体" w:hAnsi="宋体" w:cs="宋体"/>
                <w:sz w:val="24"/>
                <w:szCs w:val="24"/>
              </w:rPr>
            </w:pPr>
          </w:p>
        </w:tc>
      </w:tr>
      <w:tr w14:paraId="3651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272" w:type="dxa"/>
            <w:gridSpan w:val="7"/>
            <w:tcBorders>
              <w:top w:val="single" w:color="auto" w:sz="4" w:space="0"/>
              <w:left w:val="single" w:color="auto" w:sz="4" w:space="0"/>
              <w:bottom w:val="single" w:color="auto" w:sz="4" w:space="0"/>
              <w:right w:val="single" w:color="auto" w:sz="4" w:space="0"/>
            </w:tcBorders>
            <w:noWrap w:val="0"/>
            <w:vAlign w:val="top"/>
          </w:tcPr>
          <w:p w14:paraId="009A6D79">
            <w:pPr>
              <w:widowControl w:val="0"/>
              <w:spacing w:line="360"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w:t>
            </w:r>
            <w:r>
              <w:rPr>
                <w:rFonts w:hint="eastAsia" w:ascii="宋体" w:hAnsi="宋体" w:eastAsia="宋体" w:cs="宋体"/>
                <w:sz w:val="24"/>
                <w:szCs w:val="24"/>
                <w:highlight w:val="none"/>
                <w:lang w:eastAsia="zh-CN"/>
              </w:rPr>
              <w:t>如果需要增加新的品类，双方根据市场价协商配送。所有配送品类最终按实际供应量和单价进行结算。</w:t>
            </w:r>
          </w:p>
        </w:tc>
      </w:tr>
    </w:tbl>
    <w:p w14:paraId="79B46D92">
      <w:pPr>
        <w:spacing w:line="360" w:lineRule="auto"/>
        <w:ind w:firstLine="480" w:firstLineChars="200"/>
        <w:rPr>
          <w:rFonts w:hint="eastAsia" w:ascii="宋体" w:hAnsi="宋体" w:eastAsia="宋体" w:cs="Times New Roman"/>
          <w:sz w:val="24"/>
          <w:szCs w:val="24"/>
          <w:lang w:eastAsia="zh-CN"/>
        </w:rPr>
      </w:pPr>
    </w:p>
    <w:p w14:paraId="14524D85">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三、合同服务期限：</w:t>
      </w:r>
    </w:p>
    <w:p w14:paraId="3474A0DD">
      <w:pPr>
        <w:spacing w:line="360" w:lineRule="auto"/>
        <w:ind w:firstLine="480" w:firstLineChars="200"/>
        <w:rPr>
          <w:rFonts w:ascii="Calibri" w:hAnsi="Calibri" w:eastAsia="宋体" w:cs="Times New Roman"/>
          <w:sz w:val="24"/>
          <w:szCs w:val="24"/>
          <w:u w:val="single"/>
          <w:lang w:eastAsia="zh-CN"/>
        </w:rPr>
      </w:pPr>
      <w:r>
        <w:rPr>
          <w:rFonts w:ascii="Calibri" w:hAnsi="Calibri" w:eastAsia="宋体" w:cs="Times New Roman"/>
          <w:sz w:val="24"/>
          <w:szCs w:val="24"/>
          <w:lang w:eastAsia="zh-Hans"/>
        </w:rPr>
        <w:t>签订合同后，服务期一年。</w:t>
      </w:r>
      <w:r>
        <w:rPr>
          <w:rFonts w:hint="eastAsia" w:ascii="Calibri" w:hAnsi="Calibri" w:eastAsia="宋体" w:cs="Times New Roman"/>
          <w:sz w:val="24"/>
          <w:szCs w:val="24"/>
          <w:lang w:eastAsia="zh-CN"/>
        </w:rPr>
        <w:t>服务期限为</w:t>
      </w:r>
      <w:r>
        <w:rPr>
          <w:rFonts w:hint="eastAsia" w:ascii="Calibri" w:hAnsi="Calibri" w:eastAsia="宋体" w:cs="Times New Roman"/>
          <w:sz w:val="24"/>
          <w:szCs w:val="24"/>
          <w:u w:val="single"/>
          <w:lang w:eastAsia="zh-CN"/>
        </w:rPr>
        <w:t>2026年   月   日至2027年    月   日</w:t>
      </w:r>
    </w:p>
    <w:p w14:paraId="532BD614">
      <w:pPr>
        <w:spacing w:line="360" w:lineRule="auto"/>
        <w:rPr>
          <w:rFonts w:ascii="Calibri" w:hAnsi="Calibri" w:eastAsia="宋体" w:cs="Times New Roman"/>
          <w:b/>
          <w:bCs/>
          <w:sz w:val="24"/>
          <w:szCs w:val="24"/>
          <w:u w:val="single"/>
          <w:lang w:eastAsia="zh-CN"/>
        </w:rPr>
      </w:pPr>
      <w:r>
        <w:rPr>
          <w:rFonts w:hint="eastAsia" w:ascii="Calibri" w:hAnsi="Calibri" w:eastAsia="宋体" w:cs="Times New Roman"/>
          <w:b/>
          <w:bCs/>
          <w:sz w:val="24"/>
          <w:szCs w:val="24"/>
          <w:u w:val="single"/>
          <w:lang w:eastAsia="zh-CN"/>
        </w:rPr>
        <w:t>四、订单、配送与验收</w:t>
      </w:r>
    </w:p>
    <w:p w14:paraId="6EE82F0D">
      <w:pPr>
        <w:spacing w:line="360" w:lineRule="auto"/>
        <w:jc w:val="both"/>
        <w:rPr>
          <w:rFonts w:ascii="Calibri" w:hAnsi="Calibri" w:eastAsia="宋体" w:cs="Times New Roman"/>
          <w:sz w:val="24"/>
          <w:szCs w:val="24"/>
          <w:u w:val="single"/>
          <w:lang w:eastAsia="zh-CN"/>
        </w:rPr>
      </w:pPr>
      <w:r>
        <w:rPr>
          <w:rFonts w:ascii="Calibri" w:hAnsi="Calibri" w:eastAsia="宋体" w:cs="Times New Roman"/>
          <w:b w:val="0"/>
          <w:bCs w:val="0"/>
          <w:sz w:val="24"/>
          <w:szCs w:val="24"/>
          <w:u w:val="single"/>
          <w:lang w:eastAsia="zh-CN"/>
        </w:rPr>
        <w:t xml:space="preserve">    </w:t>
      </w:r>
      <w:r>
        <w:rPr>
          <w:rFonts w:hint="eastAsia" w:ascii="Calibri" w:hAnsi="Calibri" w:eastAsia="宋体" w:cs="Times New Roman"/>
          <w:sz w:val="24"/>
          <w:szCs w:val="24"/>
          <w:u w:val="single"/>
          <w:lang w:eastAsia="zh-CN"/>
        </w:rPr>
        <w:t>1.甲方提出水暖电料采购需求后，乙方应在【】个工作日内作出响应，并于【】个工作日内将对应货物配送至甲方指定地点，同时应同步交付产品合格证、检验报告等全部必备质保资料。</w:t>
      </w:r>
    </w:p>
    <w:p w14:paraId="36D3405E">
      <w:pPr>
        <w:spacing w:line="360" w:lineRule="auto"/>
        <w:ind w:firstLine="480" w:firstLineChars="200"/>
        <w:jc w:val="both"/>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2.</w:t>
      </w:r>
      <w:r>
        <w:rPr>
          <w:rFonts w:hint="eastAsia"/>
          <w:lang w:eastAsia="zh-CN"/>
        </w:rPr>
        <w:t xml:space="preserve"> </w:t>
      </w:r>
      <w:r>
        <w:rPr>
          <w:rFonts w:hint="eastAsia" w:ascii="Calibri" w:hAnsi="Calibri" w:eastAsia="宋体" w:cs="Times New Roman"/>
          <w:sz w:val="24"/>
          <w:szCs w:val="24"/>
          <w:u w:val="single"/>
          <w:lang w:eastAsia="zh-CN"/>
        </w:rPr>
        <w:t>乙方负责在甲方要求的期限内将产品运输到甲方指定地点，此过程产生的各项费用由乙方承担。甲方接收货物并验收通过前，货物毁损、灭失等一切风险由乙方承担。</w:t>
      </w:r>
    </w:p>
    <w:p w14:paraId="01D18A86">
      <w:pPr>
        <w:spacing w:line="360" w:lineRule="auto"/>
        <w:ind w:firstLine="480" w:firstLineChars="200"/>
        <w:jc w:val="both"/>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3.现场验收：货物送达后甲乙双方现场清点数量、核对规格、查验外观及配套质保资料，验收无误后双方在《送货确认单》签字；存在缺件、破损、规格不符、质量不合格、资料缺失情形，乙方须当日无偿更换补齐，由此造成甲方停工、抢修延误等损失，由乙方承担。</w:t>
      </w:r>
    </w:p>
    <w:p w14:paraId="741CABA5">
      <w:pPr>
        <w:spacing w:line="360" w:lineRule="auto"/>
        <w:jc w:val="both"/>
        <w:rPr>
          <w:rFonts w:ascii="Calibri" w:hAnsi="Calibri" w:eastAsia="宋体" w:cs="Times New Roman"/>
          <w:b/>
          <w:bCs/>
          <w:sz w:val="24"/>
          <w:szCs w:val="24"/>
          <w:u w:val="single"/>
          <w:lang w:eastAsia="zh-CN"/>
        </w:rPr>
      </w:pPr>
      <w:r>
        <w:rPr>
          <w:rFonts w:hint="eastAsia" w:ascii="Calibri" w:hAnsi="Calibri" w:eastAsia="宋体" w:cs="Times New Roman"/>
          <w:b/>
          <w:bCs/>
          <w:sz w:val="24"/>
          <w:szCs w:val="24"/>
          <w:u w:val="single"/>
          <w:lang w:eastAsia="zh-CN"/>
        </w:rPr>
        <w:t>五、质保服务</w:t>
      </w:r>
    </w:p>
    <w:p w14:paraId="403C5D58">
      <w:pPr>
        <w:spacing w:line="360" w:lineRule="auto"/>
        <w:ind w:firstLine="480"/>
        <w:jc w:val="both"/>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1.</w:t>
      </w:r>
      <w:r>
        <w:rPr>
          <w:rFonts w:hint="eastAsia"/>
          <w:lang w:eastAsia="zh-CN"/>
        </w:rPr>
        <w:t xml:space="preserve"> </w:t>
      </w:r>
      <w:r>
        <w:rPr>
          <w:rFonts w:hint="eastAsia" w:ascii="Calibri" w:hAnsi="Calibri" w:eastAsia="宋体" w:cs="Times New Roman"/>
          <w:sz w:val="24"/>
          <w:szCs w:val="24"/>
          <w:u w:val="single"/>
          <w:lang w:eastAsia="zh-CN"/>
        </w:rPr>
        <w:t>各类水暖电料质保期限以本合同附件《水暖电料定点供货报价清单》载明的对应品牌原厂质保标准为准。</w:t>
      </w:r>
    </w:p>
    <w:p w14:paraId="32BACBBD">
      <w:pPr>
        <w:spacing w:line="360" w:lineRule="auto"/>
        <w:ind w:firstLine="480" w:firstLineChars="0"/>
        <w:jc w:val="both"/>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2.</w:t>
      </w:r>
      <w:r>
        <w:rPr>
          <w:rFonts w:hint="eastAsia"/>
          <w:lang w:eastAsia="zh-CN"/>
        </w:rPr>
        <w:t xml:space="preserve"> </w:t>
      </w:r>
      <w:r>
        <w:rPr>
          <w:rFonts w:hint="eastAsia" w:ascii="Calibri" w:hAnsi="Calibri" w:eastAsia="宋体" w:cs="Times New Roman"/>
          <w:sz w:val="24"/>
          <w:szCs w:val="24"/>
          <w:u w:val="single"/>
          <w:lang w:eastAsia="zh-CN"/>
        </w:rPr>
        <w:t>质保期内，因产品自身材质、工艺等固有质量缺陷产生故障、损坏的，乙方应于【】日内提供维修、更换服务，并承担往返运输、装卸全部费用；乙方超过前述期限未维修、更换的，甲方有权委托第三方维修、更换，所产生的费用由乙方承担。</w:t>
      </w:r>
    </w:p>
    <w:p w14:paraId="794C04F0">
      <w:pPr>
        <w:numPr>
          <w:ilvl w:val="0"/>
          <w:numId w:val="0"/>
        </w:numPr>
        <w:spacing w:line="360" w:lineRule="auto"/>
        <w:rPr>
          <w:rFonts w:ascii="宋体" w:hAnsi="宋体" w:eastAsia="宋体" w:cs="Times New Roman"/>
          <w:b/>
          <w:sz w:val="24"/>
          <w:szCs w:val="20"/>
          <w:lang w:eastAsia="zh-Hans"/>
        </w:rPr>
      </w:pPr>
      <w:r>
        <w:rPr>
          <w:rFonts w:hint="eastAsia" w:ascii="宋体" w:hAnsi="宋体" w:eastAsia="宋体" w:cs="Times New Roman"/>
          <w:b/>
          <w:sz w:val="24"/>
          <w:szCs w:val="20"/>
          <w:lang w:eastAsia="zh-CN"/>
        </w:rPr>
        <w:t>六、合同金额及</w:t>
      </w:r>
      <w:r>
        <w:rPr>
          <w:rFonts w:ascii="宋体" w:hAnsi="宋体" w:eastAsia="宋体" w:cs="Times New Roman"/>
          <w:b/>
          <w:sz w:val="24"/>
          <w:szCs w:val="20"/>
          <w:lang w:eastAsia="zh-Hans"/>
        </w:rPr>
        <w:t>付款方式：</w:t>
      </w:r>
    </w:p>
    <w:p w14:paraId="74667667">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lang w:eastAsia="zh-CN"/>
        </w:rPr>
        <w:t>合同总金额：￥</w:t>
      </w:r>
      <w:r>
        <w:rPr>
          <w:rFonts w:hint="eastAsia" w:ascii="Calibri" w:hAnsi="Calibri" w:eastAsia="宋体" w:cs="Times New Roman"/>
          <w:sz w:val="24"/>
          <w:szCs w:val="24"/>
          <w:u w:val="single"/>
          <w:lang w:eastAsia="zh-CN"/>
        </w:rPr>
        <w:t xml:space="preserve">         （大写金额）</w:t>
      </w:r>
    </w:p>
    <w:p w14:paraId="19D939FE">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1.按月结算。每月货到验收合格，乙方需按照甲方要求在15日内开具等额合规发票，发票经甲方验收合格后，甲方在60日内一次性通过银行转账付清。否则，甲方有权拒付费用且不承担任何责任。</w:t>
      </w:r>
    </w:p>
    <w:p w14:paraId="5DEF1538">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服务期满一年或双方累计结算款项金额达到本合同采购预算总额，任一条件先成就的，本合同自动终止。</w:t>
      </w:r>
    </w:p>
    <w:p w14:paraId="3D928064">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2.本合同所列全部单价为包干综合单价，货物费、运杂费、税费等乙方履行合同义务所需的一切费用，甲方不再另行支付任何费用，乙方单价中包含所有货物费、包装费、运费、损耗、税金、售后质保等完成本项目全部工作所需一切费用，合同履行期间甲方不再追加任何款项。</w:t>
      </w:r>
    </w:p>
    <w:p w14:paraId="3854623B">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付款方式：银行转账将款项转入乙方银行账户。乙方银行账户信息如下：</w:t>
      </w:r>
    </w:p>
    <w:p w14:paraId="18494C79">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账户全称：</w:t>
      </w:r>
    </w:p>
    <w:p w14:paraId="4F078C08">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账    号：</w:t>
      </w:r>
    </w:p>
    <w:p w14:paraId="6F93F315">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开 户 行：</w:t>
      </w:r>
    </w:p>
    <w:p w14:paraId="386EA9FB">
      <w:pPr>
        <w:spacing w:line="360" w:lineRule="auto"/>
        <w:ind w:firstLine="480" w:firstLineChars="200"/>
        <w:rPr>
          <w:rFonts w:ascii="Calibri" w:hAnsi="Calibri" w:eastAsia="宋体" w:cs="Times New Roman"/>
          <w:sz w:val="24"/>
          <w:szCs w:val="24"/>
          <w:u w:val="single"/>
          <w:lang w:eastAsia="zh-CN"/>
        </w:rPr>
      </w:pPr>
      <w:r>
        <w:rPr>
          <w:rFonts w:hint="eastAsia" w:ascii="Calibri" w:hAnsi="Calibri" w:eastAsia="宋体" w:cs="Times New Roman"/>
          <w:sz w:val="24"/>
          <w:szCs w:val="24"/>
          <w:u w:val="single"/>
          <w:lang w:eastAsia="zh-CN"/>
        </w:rPr>
        <w:t>甲方仅认可上述指定账户向该账户付款。甲方有权拒绝向指定账户之外的任何账户付款，并且由此导致的付款延迟责任由乙方承担。</w:t>
      </w:r>
    </w:p>
    <w:p w14:paraId="774162BF">
      <w:pPr>
        <w:spacing w:line="360" w:lineRule="auto"/>
        <w:rPr>
          <w:rFonts w:ascii="宋体" w:hAnsi="宋体" w:eastAsia="宋体" w:cs="Times New Roman"/>
          <w:b/>
          <w:sz w:val="24"/>
          <w:lang w:eastAsia="zh-CN"/>
        </w:rPr>
      </w:pPr>
      <w:r>
        <w:rPr>
          <w:rFonts w:hint="eastAsia" w:ascii="宋体" w:hAnsi="宋体" w:eastAsia="宋体" w:cs="Times New Roman"/>
          <w:b/>
          <w:sz w:val="24"/>
          <w:lang w:eastAsia="zh-CN"/>
        </w:rPr>
        <w:t>七、双方权利义务</w:t>
      </w:r>
    </w:p>
    <w:p w14:paraId="22763B51">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（一）甲方权利义务</w:t>
      </w:r>
    </w:p>
    <w:p w14:paraId="2CCE448E">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（1）对乙方交付的产品进行验收，验收合格后予以书面确认。</w:t>
      </w:r>
    </w:p>
    <w:p w14:paraId="0028C2EC">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（2）按合同约定向乙方支付合同价款。</w:t>
      </w:r>
    </w:p>
    <w:p w14:paraId="36CA8837">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（二）乙方权利义务</w:t>
      </w:r>
    </w:p>
    <w:p w14:paraId="12D86D77">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（1）按合同约定收取甲方支付的合同价款。</w:t>
      </w:r>
    </w:p>
    <w:p w14:paraId="13EC3B09">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（2）按合同约定的产品数量、质量及时间完成产品的供货工作，负责将产品运至甲方指定地点，负责甲方验收合格书面确认接收前的保管工作。</w:t>
      </w:r>
    </w:p>
    <w:p w14:paraId="68A182B6">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3）保证出售给甲方的产品的所有权以及知识产权等相关权利不存在瑕疵，不受第三方追诉，否则应承担由此给甲方造成的所有损失，该损失包括但不限于支付给第三方的赔偿费、甲方购买该产品的费用、诉讼/仲裁费、代理费、差旅费等。</w:t>
      </w:r>
    </w:p>
    <w:p w14:paraId="17207409">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（4）负责产品生产、运输、装卸过程中的安全负责，乙方在履行本合同期间发生的人身、财产等一切安全事故，均由乙方自行承担全部责任及相关费用。</w:t>
      </w:r>
    </w:p>
    <w:p w14:paraId="531030AB">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八、违约责任</w:t>
      </w:r>
    </w:p>
    <w:p w14:paraId="2F280130">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1、如乙方</w:t>
      </w:r>
      <w:r>
        <w:rPr>
          <w:rFonts w:hint="eastAsia" w:ascii="宋体" w:hAnsi="Courier New" w:eastAsia="宋体" w:cs="Times New Roman"/>
          <w:sz w:val="24"/>
          <w:szCs w:val="24"/>
          <w:lang w:eastAsia="zh-Hans"/>
        </w:rPr>
        <w:t>逾</w:t>
      </w:r>
      <w:r>
        <w:rPr>
          <w:rFonts w:hint="eastAsia" w:ascii="宋体" w:hAnsi="Courier New" w:eastAsia="宋体" w:cs="Times New Roman"/>
          <w:sz w:val="24"/>
          <w:szCs w:val="24"/>
          <w:lang w:eastAsia="zh-CN"/>
        </w:rPr>
        <w:t>期向甲方交付全部产品，每逾期一日，应向甲方支付该批产品总价款2</w:t>
      </w:r>
      <w:r>
        <w:rPr>
          <w:rFonts w:hint="default" w:ascii="Arial" w:hAnsi="Arial" w:eastAsia="宋体" w:cs="Arial"/>
          <w:sz w:val="24"/>
          <w:szCs w:val="24"/>
          <w:lang w:eastAsia="zh-CN"/>
        </w:rPr>
        <w:t>‰</w:t>
      </w:r>
      <w:r>
        <w:rPr>
          <w:rFonts w:hint="eastAsia" w:ascii="宋体" w:hAnsi="Courier New" w:eastAsia="宋体" w:cs="Times New Roman"/>
          <w:sz w:val="24"/>
          <w:szCs w:val="24"/>
          <w:lang w:eastAsia="zh-CN"/>
        </w:rPr>
        <w:t>的违约金，逾期超过三日（含三日）的，甲方还有权单方解除本合同，乙方应向甲方支付已发生价款20%的违约金。违约金不足以弥补甲方全部损失的，乙方应予补足。</w:t>
      </w:r>
    </w:p>
    <w:p w14:paraId="2CC26BF3">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2、乙方所提供产品必须是甲方指定产品，并保证产品质量。乙方提供产品应符合国家“三包”规定，如发现非甲方指定产品、产品非全新或质量不符合</w:t>
      </w:r>
      <w:r>
        <w:rPr>
          <w:rFonts w:hint="eastAsia" w:ascii="宋体" w:hAnsi="Courier New" w:eastAsia="宋体" w:cs="Times New Roman"/>
          <w:sz w:val="24"/>
          <w:szCs w:val="24"/>
          <w:lang w:eastAsia="zh-Hans"/>
        </w:rPr>
        <w:t>国家标准及</w:t>
      </w:r>
      <w:r>
        <w:rPr>
          <w:rFonts w:hint="eastAsia" w:ascii="宋体" w:hAnsi="Courier New" w:eastAsia="宋体" w:cs="Times New Roman"/>
          <w:sz w:val="24"/>
          <w:szCs w:val="24"/>
          <w:lang w:eastAsia="zh-CN"/>
        </w:rPr>
        <w:t>甲方要求的，除按本合同验收条款处理外，乙方应根据本合同约定承担补充、调换产品导致延期交付的违约责任。乙方拒绝补充、调换，或在本合同约定期限内不能完成补充、调换工作，或调换后仍不符合甲方要求的，视为乙方根本违约，甲方有权单方解除合同，</w:t>
      </w:r>
      <w:r>
        <w:rPr>
          <w:rFonts w:hint="eastAsia" w:ascii="宋体" w:hAnsi="Courier New" w:eastAsia="宋体" w:cs="Times New Roman"/>
          <w:sz w:val="24"/>
          <w:szCs w:val="24"/>
          <w:lang w:eastAsia="zh-Hans"/>
        </w:rPr>
        <w:t>双方据实结算，甲方有权要求</w:t>
      </w:r>
      <w:r>
        <w:rPr>
          <w:rFonts w:hint="eastAsia" w:ascii="宋体" w:hAnsi="Courier New" w:eastAsia="宋体" w:cs="Times New Roman"/>
          <w:sz w:val="24"/>
          <w:szCs w:val="24"/>
          <w:lang w:eastAsia="zh-CN"/>
        </w:rPr>
        <w:t>乙方按照合同已发生价款的20%支付违约金。违约金不足以弥补甲方全部损失的，乙方应予补足。</w:t>
      </w:r>
    </w:p>
    <w:p w14:paraId="39B41721">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3、因产品质量问题，造成任何一方或其他第三方人身伤害或财产损失的，由乙方承担全部责任，导致甲方承担责任或遭受损失的，甲方有权向乙方追偿或索赔，同时甲方有权单方解除合同，乙方应向甲方支付已发生价款20%的违约金。</w:t>
      </w:r>
    </w:p>
    <w:p w14:paraId="4CE81C43">
      <w:pPr>
        <w:spacing w:line="360" w:lineRule="auto"/>
        <w:ind w:firstLine="480" w:firstLineChars="200"/>
        <w:rPr>
          <w:rFonts w:ascii="宋体" w:hAnsi="Courier New" w:eastAsia="宋体" w:cs="Times New Roman"/>
          <w:sz w:val="24"/>
          <w:szCs w:val="24"/>
          <w:lang w:eastAsia="zh-CN"/>
        </w:rPr>
      </w:pPr>
      <w:r>
        <w:rPr>
          <w:rFonts w:hint="eastAsia" w:ascii="宋体" w:hAnsi="Courier New" w:eastAsia="宋体" w:cs="Times New Roman"/>
          <w:sz w:val="24"/>
          <w:szCs w:val="24"/>
          <w:lang w:eastAsia="zh-CN"/>
        </w:rPr>
        <w:t>4、乙方违反合同职责约定，甲方有权要求乙方及时整改，如乙方拒绝整改或整改【】次后仍不能达到甲方要求，视为乙方根本违约，甲方有权单方解除合同并要求乙方按照合同已发生价款的</w:t>
      </w:r>
      <w:r>
        <w:rPr>
          <w:rFonts w:ascii="宋体" w:hAnsi="Courier New" w:eastAsia="宋体" w:cs="Times New Roman"/>
          <w:sz w:val="24"/>
          <w:szCs w:val="24"/>
          <w:lang w:eastAsia="zh-CN"/>
        </w:rPr>
        <w:t>20%</w:t>
      </w:r>
      <w:r>
        <w:rPr>
          <w:rFonts w:hint="eastAsia" w:ascii="宋体" w:hAnsi="Courier New" w:eastAsia="宋体" w:cs="Times New Roman"/>
          <w:sz w:val="24"/>
          <w:szCs w:val="24"/>
          <w:lang w:eastAsia="zh-CN"/>
        </w:rPr>
        <w:t>支付违约金。</w:t>
      </w:r>
    </w:p>
    <w:p w14:paraId="7F9116EB">
      <w:pPr>
        <w:ind w:firstLine="480" w:firstLineChars="200"/>
        <w:rPr>
          <w:rFonts w:eastAsia="宋体"/>
          <w:lang w:eastAsia="zh-CN"/>
        </w:rPr>
      </w:pPr>
      <w:r>
        <w:rPr>
          <w:rFonts w:hint="eastAsia" w:ascii="宋体" w:hAnsi="Courier New" w:eastAsia="宋体" w:cs="Times New Roman"/>
          <w:sz w:val="24"/>
          <w:szCs w:val="24"/>
          <w:lang w:eastAsia="zh-CN"/>
        </w:rPr>
        <w:t>5、任何一方要终止合同都应提前一周(即：7天)以书面方式通知对方。</w:t>
      </w:r>
    </w:p>
    <w:p w14:paraId="7C293ABD">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九、不可抗力</w:t>
      </w:r>
    </w:p>
    <w:p w14:paraId="54BF7126">
      <w:pPr>
        <w:spacing w:line="360" w:lineRule="auto"/>
        <w:ind w:firstLine="480" w:firstLineChars="200"/>
        <w:rPr>
          <w:rFonts w:ascii="宋体" w:hAnsi="宋体" w:eastAsia="宋体" w:cs="Times New Roman"/>
          <w:b/>
          <w:sz w:val="24"/>
          <w:szCs w:val="24"/>
          <w:lang w:eastAsia="zh-CN"/>
        </w:rPr>
      </w:pPr>
      <w:r>
        <w:rPr>
          <w:rFonts w:ascii="宋体" w:hAnsi="宋体" w:eastAsia="宋体" w:cs="Times New Roman"/>
          <w:sz w:val="24"/>
          <w:szCs w:val="24"/>
          <w:lang w:eastAsia="zh-CN"/>
        </w:rPr>
        <w:t>1</w:t>
      </w:r>
      <w:r>
        <w:rPr>
          <w:rFonts w:hint="eastAsia" w:ascii="宋体" w:hAnsi="宋体" w:eastAsia="宋体" w:cs="Times New Roman"/>
          <w:sz w:val="24"/>
          <w:szCs w:val="24"/>
          <w:lang w:eastAsia="zh-CN"/>
        </w:rPr>
        <w:t>、不可抗力指在本合同期限内发生的不可预见（或可预见，但其发生或后果不可避免）、非任何一方所能控制且使任何一方无法完全履行本合同的国家政策、法律、法规的限制、地震、台风、火灾、水灾、战争、罢工、暴动、黑客攻击或任何其它社会、政治动荡造成的灾难。</w:t>
      </w:r>
    </w:p>
    <w:p w14:paraId="4F64AED2">
      <w:pPr>
        <w:tabs>
          <w:tab w:val="left" w:pos="840"/>
        </w:tabs>
        <w:spacing w:line="360" w:lineRule="auto"/>
        <w:ind w:firstLine="480" w:firstLineChars="200"/>
        <w:rPr>
          <w:rFonts w:ascii="宋体" w:hAnsi="宋体" w:eastAsia="宋体" w:cs="Times New Roman"/>
          <w:sz w:val="24"/>
          <w:szCs w:val="24"/>
          <w:lang w:eastAsia="zh-CN"/>
        </w:rPr>
      </w:pPr>
      <w:r>
        <w:rPr>
          <w:rFonts w:ascii="宋体" w:hAnsi="宋体" w:eastAsia="宋体" w:cs="Times New Roman"/>
          <w:sz w:val="24"/>
          <w:szCs w:val="24"/>
          <w:lang w:eastAsia="zh-CN"/>
        </w:rPr>
        <w:t>2</w:t>
      </w:r>
      <w:r>
        <w:rPr>
          <w:rFonts w:hint="eastAsia" w:ascii="宋体" w:hAnsi="宋体" w:eastAsia="宋体" w:cs="Times New Roman"/>
          <w:sz w:val="24"/>
          <w:szCs w:val="24"/>
          <w:lang w:eastAsia="zh-CN"/>
        </w:rPr>
        <w:t>、如果出现不可抗力，双方在本合同中的义务在不可抗力影响范围及其持续期间内将中止履行。经另外一方确认的不可抗力影响时间，不计入本合同执行时间。本合同期限可根据中止的期限作相应延长，但须双方协商一致。任何一方均不会因此而承担责任。</w:t>
      </w:r>
    </w:p>
    <w:p w14:paraId="64939D55">
      <w:pPr>
        <w:tabs>
          <w:tab w:val="left" w:pos="840"/>
        </w:tabs>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3、声称遭受不可抗力的一方应在不可抗力发生后不迟于 15日内通知另一方，并随附经有关部门确认的不可抗力书面证明，且应尽可能减少不可抗力所产生之影响。</w:t>
      </w:r>
    </w:p>
    <w:p w14:paraId="0E07A710">
      <w:pPr>
        <w:tabs>
          <w:tab w:val="left" w:pos="840"/>
        </w:tabs>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4、如发生不可抗力，双方应立即协商解决问题的方案。如果不可抗力持续 30 日以上，且致使合同无法继续履约的，经双方书面确认可解除本合同。</w:t>
      </w:r>
    </w:p>
    <w:p w14:paraId="56A0DAD7">
      <w:pPr>
        <w:tabs>
          <w:tab w:val="left" w:pos="840"/>
        </w:tabs>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5、在发生不可抗力时，双方对各自控制下的设备、资料负有保管责任，对于未受不可抗力影响并且可以继续履行的合同义务应继续履行。</w:t>
      </w:r>
    </w:p>
    <w:p w14:paraId="73F855A0">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十、争议解决</w:t>
      </w:r>
    </w:p>
    <w:p w14:paraId="18F9CE11">
      <w:pPr>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本合同有关的或因执行本合同所产生的一切争议,应通过友好协商解决。如果协商不能解决时, 可将争议提交甲方所在地人民法院诉讼进行解决。</w:t>
      </w:r>
    </w:p>
    <w:p w14:paraId="42632E14">
      <w:pPr>
        <w:spacing w:line="360" w:lineRule="auto"/>
        <w:rPr>
          <w:rFonts w:ascii="宋体" w:hAnsi="宋体" w:eastAsia="宋体" w:cs="Times New Roman"/>
          <w:b/>
          <w:sz w:val="24"/>
          <w:szCs w:val="24"/>
          <w:lang w:eastAsia="zh-CN"/>
        </w:rPr>
      </w:pPr>
      <w:r>
        <w:rPr>
          <w:rFonts w:hint="eastAsia" w:ascii="宋体" w:hAnsi="宋体" w:eastAsia="宋体" w:cs="Times New Roman"/>
          <w:b/>
          <w:sz w:val="24"/>
          <w:szCs w:val="24"/>
          <w:lang w:eastAsia="zh-CN"/>
        </w:rPr>
        <w:t>十一、其他</w:t>
      </w:r>
    </w:p>
    <w:p w14:paraId="71EB8F2D">
      <w:pPr>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lang w:eastAsia="zh-CN"/>
        </w:rPr>
        <w:t>1、本合同未尽事宜，由双方协商处理。</w:t>
      </w:r>
    </w:p>
    <w:p w14:paraId="74E0B059">
      <w:pPr>
        <w:spacing w:line="360" w:lineRule="auto"/>
        <w:ind w:firstLine="480" w:firstLineChars="200"/>
        <w:rPr>
          <w:rFonts w:ascii="宋体" w:hAnsi="宋体" w:eastAsia="宋体" w:cs="Times New Roman"/>
          <w:sz w:val="24"/>
          <w:szCs w:val="24"/>
          <w:lang w:eastAsia="zh-CN"/>
        </w:rPr>
      </w:pPr>
      <w:r>
        <w:rPr>
          <w:rFonts w:hint="eastAsia" w:ascii="宋体" w:hAnsi="宋体" w:eastAsia="宋体" w:cs="Times New Roman"/>
          <w:sz w:val="24"/>
          <w:szCs w:val="24"/>
        </w:rPr>
        <w:t>2、本合同</w:t>
      </w:r>
      <w:r>
        <w:rPr>
          <w:rFonts w:hint="eastAsia" w:ascii="宋体" w:hAnsi="宋体" w:eastAsia="宋体" w:cs="Times New Roman"/>
          <w:sz w:val="24"/>
          <w:szCs w:val="24"/>
          <w:lang w:eastAsia="zh-CN"/>
        </w:rPr>
        <w:t>共</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份，具有同等法律效力，甲方</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份，乙方</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份。</w:t>
      </w:r>
      <w:r>
        <w:rPr>
          <w:rFonts w:hint="eastAsia" w:ascii="宋体" w:hAnsi="宋体" w:eastAsia="宋体" w:cs="Times New Roman"/>
          <w:sz w:val="24"/>
          <w:szCs w:val="24"/>
          <w:lang w:eastAsia="zh-CN"/>
        </w:rPr>
        <w:t>合同自双方法定代表人签字并加盖公章之日起即时生效。</w:t>
      </w:r>
    </w:p>
    <w:p w14:paraId="6ADA4209">
      <w:pPr>
        <w:spacing w:line="360" w:lineRule="auto"/>
        <w:ind w:firstLine="480"/>
        <w:rPr>
          <w:rFonts w:ascii="宋体" w:hAnsi="宋体" w:eastAsia="宋体" w:cs="Times New Roman"/>
          <w:sz w:val="24"/>
          <w:szCs w:val="24"/>
          <w:lang w:eastAsia="zh-CN"/>
        </w:rPr>
      </w:pPr>
      <w:r>
        <w:rPr>
          <w:rFonts w:ascii="宋体" w:hAnsi="宋体" w:eastAsia="宋体" w:cs="Times New Roman"/>
          <w:sz w:val="24"/>
          <w:szCs w:val="24"/>
          <w:lang w:eastAsia="zh-CN"/>
        </w:rPr>
        <w:t>3</w:t>
      </w:r>
      <w:r>
        <w:rPr>
          <w:rFonts w:hint="eastAsia" w:ascii="宋体" w:hAnsi="宋体" w:eastAsia="宋体" w:cs="Times New Roman"/>
          <w:sz w:val="24"/>
          <w:szCs w:val="24"/>
          <w:lang w:eastAsia="zh-CN"/>
        </w:rPr>
        <w:t>、招标文件、投标文件具有同等法律效力，招、投标文件为合同的组成部分。</w:t>
      </w:r>
    </w:p>
    <w:p w14:paraId="52244F46">
      <w:pPr>
        <w:ind w:firstLine="420"/>
        <w:rPr>
          <w:rFonts w:ascii="宋体" w:hAnsi="Courier New" w:eastAsia="宋体" w:cs="Times New Roman"/>
          <w:szCs w:val="20"/>
          <w:lang w:eastAsia="zh-CN"/>
        </w:rPr>
      </w:pPr>
    </w:p>
    <w:p w14:paraId="560221F2">
      <w:pPr>
        <w:spacing w:before="100" w:beforeAutospacing="1" w:after="100" w:afterAutospacing="1" w:line="480" w:lineRule="auto"/>
        <w:rPr>
          <w:rFonts w:ascii="宋体" w:hAnsi="宋体" w:eastAsia="宋体" w:cs="仿宋_GB2312"/>
          <w:sz w:val="24"/>
          <w:szCs w:val="32"/>
          <w:lang w:eastAsia="zh-CN"/>
        </w:rPr>
      </w:pPr>
      <w:r>
        <w:rPr>
          <w:rFonts w:hint="eastAsia" w:ascii="宋体" w:hAnsi="宋体" w:eastAsia="宋体" w:cs="仿宋_GB2312"/>
          <w:sz w:val="24"/>
          <w:szCs w:val="32"/>
          <w:lang w:eastAsia="zh-CN"/>
        </w:rPr>
        <w:t>甲  方（单位公章）                                   乙  方（单位公章）</w:t>
      </w:r>
    </w:p>
    <w:p w14:paraId="2ADD21DF">
      <w:pPr>
        <w:tabs>
          <w:tab w:val="left" w:pos="480"/>
        </w:tabs>
        <w:spacing w:line="480" w:lineRule="auto"/>
        <w:ind w:left="4440" w:hanging="4440" w:hangingChars="1850"/>
        <w:rPr>
          <w:rFonts w:ascii="宋体" w:hAnsi="宋体" w:eastAsia="宋体" w:cs="仿宋_GB2312"/>
          <w:sz w:val="24"/>
          <w:szCs w:val="32"/>
          <w:lang w:eastAsia="zh-CN"/>
        </w:rPr>
      </w:pPr>
      <w:r>
        <w:rPr>
          <w:rFonts w:hint="eastAsia" w:ascii="宋体" w:hAnsi="宋体" w:eastAsia="宋体" w:cs="仿宋_GB2312"/>
          <w:sz w:val="24"/>
          <w:szCs w:val="32"/>
          <w:lang w:eastAsia="zh-CN"/>
        </w:rPr>
        <w:t>单位名称：                                           单位名称：</w:t>
      </w:r>
    </w:p>
    <w:p w14:paraId="00694381">
      <w:pPr>
        <w:tabs>
          <w:tab w:val="left" w:pos="480"/>
        </w:tabs>
        <w:spacing w:line="480" w:lineRule="auto"/>
        <w:rPr>
          <w:rFonts w:ascii="宋体" w:hAnsi="宋体" w:eastAsia="宋体" w:cs="仿宋_GB2312"/>
          <w:sz w:val="24"/>
          <w:szCs w:val="32"/>
          <w:lang w:eastAsia="zh-CN"/>
        </w:rPr>
      </w:pPr>
      <w:r>
        <w:rPr>
          <w:rFonts w:hint="eastAsia" w:ascii="宋体" w:hAnsi="宋体" w:eastAsia="宋体" w:cs="仿宋_GB2312"/>
          <w:sz w:val="24"/>
          <w:szCs w:val="32"/>
          <w:lang w:eastAsia="zh-CN"/>
        </w:rPr>
        <w:t>地  址：                                             地  址：</w:t>
      </w:r>
    </w:p>
    <w:p w14:paraId="614F5705">
      <w:pPr>
        <w:tabs>
          <w:tab w:val="left" w:pos="480"/>
        </w:tabs>
        <w:spacing w:line="480" w:lineRule="auto"/>
        <w:rPr>
          <w:rFonts w:ascii="宋体" w:hAnsi="宋体" w:eastAsia="宋体" w:cs="仿宋_GB2312"/>
          <w:sz w:val="24"/>
          <w:szCs w:val="32"/>
        </w:rPr>
      </w:pPr>
      <w:r>
        <w:rPr>
          <w:rFonts w:hint="eastAsia" w:ascii="宋体" w:hAnsi="宋体" w:eastAsia="宋体" w:cs="仿宋_GB2312"/>
          <w:sz w:val="24"/>
          <w:szCs w:val="32"/>
        </w:rPr>
        <w:t>法定代表人：                                         法定代表人：</w:t>
      </w:r>
    </w:p>
    <w:p w14:paraId="3BCA4CA2">
      <w:pPr>
        <w:spacing w:line="480" w:lineRule="auto"/>
        <w:ind w:right="-154"/>
        <w:textAlignment w:val="bottom"/>
        <w:rPr>
          <w:rFonts w:ascii="宋体" w:hAnsi="宋体" w:eastAsia="宋体" w:cs="仿宋_GB2312"/>
          <w:sz w:val="24"/>
          <w:szCs w:val="32"/>
          <w:lang w:eastAsia="zh-CN"/>
        </w:rPr>
      </w:pPr>
      <w:r>
        <w:rPr>
          <w:rFonts w:hint="eastAsia" w:ascii="宋体" w:hAnsi="宋体" w:eastAsia="宋体" w:cs="仿宋_GB2312"/>
          <w:sz w:val="24"/>
          <w:szCs w:val="32"/>
          <w:lang w:eastAsia="zh-CN"/>
        </w:rPr>
        <w:t>联系电话：                                           联系电话：</w:t>
      </w:r>
    </w:p>
    <w:p w14:paraId="5AEAC7B4">
      <w:pPr>
        <w:spacing w:line="480" w:lineRule="auto"/>
        <w:ind w:right="-154"/>
        <w:textAlignment w:val="bottom"/>
        <w:rPr>
          <w:rFonts w:ascii="宋体" w:hAnsi="宋体" w:eastAsia="宋体" w:cs="仿宋_GB2312"/>
          <w:sz w:val="24"/>
          <w:szCs w:val="32"/>
          <w:lang w:eastAsia="zh-CN"/>
        </w:rPr>
      </w:pPr>
      <w:r>
        <w:rPr>
          <w:rFonts w:hint="eastAsia" w:ascii="宋体" w:hAnsi="宋体" w:eastAsia="宋体" w:cs="仿宋_GB2312"/>
          <w:sz w:val="24"/>
          <w:szCs w:val="32"/>
          <w:lang w:eastAsia="zh-CN"/>
        </w:rPr>
        <w:t>账号：                                               帐    号：</w:t>
      </w:r>
    </w:p>
    <w:p w14:paraId="7BFC30F5">
      <w:pPr>
        <w:spacing w:line="480" w:lineRule="auto"/>
        <w:ind w:right="-154"/>
        <w:textAlignment w:val="bottom"/>
        <w:rPr>
          <w:rFonts w:ascii="宋体" w:hAnsi="宋体" w:eastAsia="宋体" w:cs="仿宋_GB2312"/>
          <w:sz w:val="24"/>
          <w:szCs w:val="32"/>
          <w:lang w:eastAsia="zh-CN"/>
        </w:rPr>
      </w:pPr>
      <w:r>
        <w:rPr>
          <w:rFonts w:hint="eastAsia" w:ascii="宋体" w:hAnsi="宋体" w:eastAsia="宋体" w:cs="仿宋_GB2312"/>
          <w:sz w:val="24"/>
          <w:szCs w:val="32"/>
          <w:lang w:eastAsia="zh-CN"/>
        </w:rPr>
        <w:t>开户银行：                                           开户银行：</w:t>
      </w:r>
    </w:p>
    <w:p w14:paraId="14EF2EC7">
      <w:pPr>
        <w:tabs>
          <w:tab w:val="left" w:pos="480"/>
        </w:tabs>
        <w:spacing w:line="360" w:lineRule="exact"/>
        <w:rPr>
          <w:rFonts w:ascii="宋体" w:hAnsi="宋体" w:eastAsia="宋体" w:cs="仿宋_GB2312"/>
          <w:sz w:val="24"/>
          <w:szCs w:val="32"/>
          <w:lang w:eastAsia="zh-CN"/>
        </w:rPr>
      </w:pPr>
      <w:r>
        <w:rPr>
          <w:rFonts w:hint="eastAsia" w:ascii="宋体" w:hAnsi="宋体" w:eastAsia="宋体" w:cs="仿宋_GB2312"/>
          <w:sz w:val="24"/>
          <w:szCs w:val="32"/>
          <w:lang w:eastAsia="zh-CN"/>
        </w:rPr>
        <w:t>签订日期：   年  月  日                              签订日期：年 月 日</w:t>
      </w:r>
    </w:p>
    <w:p w14:paraId="36E240DD">
      <w:pPr>
        <w:overflowPunct w:val="0"/>
        <w:rPr>
          <w:rFonts w:ascii="宋体" w:hAnsi="Courier New" w:eastAsia="宋体" w:cs="Times New Roman"/>
          <w:szCs w:val="20"/>
          <w:lang w:eastAsia="zh-CN"/>
        </w:rPr>
      </w:pPr>
    </w:p>
    <w:p w14:paraId="20DF3D72">
      <w:pPr>
        <w:rPr>
          <w:lang w:eastAsia="zh-CN"/>
        </w:rPr>
      </w:pPr>
    </w:p>
    <w:p w14:paraId="1326123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C4A91"/>
    <w:rsid w:val="461C4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cs="Times New Roman"/>
      <w:sz w:val="24"/>
      <w:lang w:eastAsia="zh-CN"/>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2026-07-03T07:03:00Z</dcterms:created>
  <dc:creator>牛超</dc:creator>
  <cp:lastModifiedBy>牛超</cp:lastModifiedBy>
  <dcterms:modified xsi:type="dcterms:W3CDTF">2026-07-03T07:03:41Z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B829FEEB6DB547FFA4535149AEA19E43_11</vt:lpwstr>
  </property>
  <property fmtid="{D5CDD505-2E9C-101B-9397-08002B2CF9AE}" pid="4" name="KSOTemplateDocerSaveRecord">
    <vt:lpwstr>eyJoZGlkIjoiMzEwNTM5NzYwMDRjMzkwZTVkZjY2ODkwMGIxNGU0OTUiLCJ1c2VySWQiOiI0NTA5Nzk3MDQifQ==</vt:lpwstr>
  </property>
</Properties>
</file>